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</w:rPr>
        <w:t>20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CN"/>
        </w:rPr>
        <w:t>21</w:t>
      </w:r>
      <w:r>
        <w:rPr>
          <w:rFonts w:hint="eastAsia" w:ascii="华文中宋" w:hAnsi="华文中宋" w:eastAsia="华文中宋"/>
          <w:b/>
          <w:sz w:val="30"/>
          <w:szCs w:val="30"/>
        </w:rPr>
        <w:t>年国家社科基金项目</w:t>
      </w:r>
    </w:p>
    <w:p>
      <w:pPr>
        <w:jc w:val="center"/>
        <w:rPr>
          <w:rFonts w:hint="eastAsia"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</w:rPr>
        <w:t>经费预算填报注意事项</w:t>
      </w:r>
    </w:p>
    <w:p>
      <w:pPr>
        <w:jc w:val="center"/>
        <w:rPr>
          <w:rFonts w:hint="eastAsia" w:ascii="华文中宋" w:hAnsi="华文中宋" w:eastAsia="华文中宋"/>
          <w:b/>
          <w:sz w:val="21"/>
          <w:szCs w:val="21"/>
        </w:rPr>
      </w:pP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项目负责人应依据《国家社科基金项目资金管理办法》</w:t>
      </w:r>
      <w:r>
        <w:rPr>
          <w:rFonts w:hint="eastAsia" w:asciiTheme="minorEastAsia" w:hAnsi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/>
          <w:sz w:val="24"/>
          <w:szCs w:val="24"/>
        </w:rPr>
        <w:t>财教〔2021〕237号</w:t>
      </w:r>
      <w:r>
        <w:rPr>
          <w:rFonts w:hint="eastAsia" w:asciiTheme="minorEastAsia" w:hAnsi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/>
          <w:sz w:val="24"/>
          <w:szCs w:val="24"/>
        </w:rPr>
        <w:t>，在充分了解项目责任单位财务管理规定和科研管理规定的基础上，结合项目研究实际需要，制定项目经费预算。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国社科年度项目（重点、一般、青年）实行预算制，实行包干制资金管理的项目另行专门通知。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直接经费比例为60%，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间接经费比例为40%。项目成果通过审核验收后，依据结项等级调整间接费用比例，具体如下：</w:t>
      </w:r>
    </w:p>
    <w:p>
      <w:pPr>
        <w:adjustRightInd w:val="0"/>
        <w:snapToGrid w:val="0"/>
        <w:spacing w:line="360" w:lineRule="auto"/>
        <w:ind w:firstLine="644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）结项等级为“优秀”的，50万元及以下部分可提高到不超过60%；超过50万元至500万元的部分可提高到不超过50%；超过500万元的部分可提高到不超过40%。</w:t>
      </w:r>
    </w:p>
    <w:p>
      <w:pPr>
        <w:adjustRightInd w:val="0"/>
        <w:snapToGrid w:val="0"/>
        <w:spacing w:line="360" w:lineRule="auto"/>
        <w:ind w:firstLine="644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）结项等级为“良好”的，50万元及以下部分可提高到不超过50%；超过50万元至500万元的部分可提高到不超过40%；超过500万元的部分可提高到不超过30%。</w:t>
      </w:r>
    </w:p>
    <w:p>
      <w:pPr>
        <w:adjustRightInd w:val="0"/>
        <w:snapToGrid w:val="0"/>
        <w:spacing w:line="360" w:lineRule="auto"/>
        <w:ind w:firstLine="644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）结项等级为“合格”，或以“免于鉴定”方式结项未分等级的，间接费用比例不再提高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业务费：指在项目实施过程中购置图书、收集资料、复印翻拍、检索文献、采集数据、翻译资料、印刷出版、会议/差旅/国际合作与交流等费用，以及其他相关支出。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劳务费：指在项目实施过程中支付给参与项目研究的研究生、博士后、访问学者和项目聘用的研究人员、科研辅助人员等的劳务性费用，以及支付给临时聘请的咨询专家的费用等。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设备费：指在项目实施过程中购置设备和设备耗材、升级维护现有设备以及租用外单位设备而发生的费用。应当严格控制设备购置，鼓励共享、租赁设备以及对现有设备进行升级。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直接费用只提供基本测算说明，不需要提供明细。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预算中不得列支论文版面费和最终成果出版经费。可在“</w:t>
      </w:r>
      <w:r>
        <w:rPr>
          <w:rFonts w:hint="eastAsia" w:asciiTheme="minorEastAsia" w:hAnsiTheme="minorEastAsia" w:cstheme="minorBidi"/>
          <w:kern w:val="2"/>
          <w:sz w:val="24"/>
          <w:szCs w:val="24"/>
          <w:lang w:val="en-US" w:eastAsia="zh-CN" w:bidi="ar-SA"/>
        </w:rPr>
        <w:t>业务</w:t>
      </w:r>
      <w:bookmarkStart w:id="0" w:name="_GoBack"/>
      <w:bookmarkEnd w:id="0"/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费”栏目中列支阶段性成果出版经费。项目鉴定结项后，结余资金可用于最终成果出版。（后期资助项目必须列支最终成果出版费用）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预算中不得单独列支餐费，可结合会议费、差旅费制定餐费预算。</w:t>
      </w:r>
    </w:p>
    <w:p>
      <w:pPr>
        <w:pStyle w:val="8"/>
        <w:numPr>
          <w:ilvl w:val="0"/>
          <w:numId w:val="1"/>
        </w:numPr>
        <w:spacing w:line="420" w:lineRule="exact"/>
        <w:ind w:left="0" w:firstLine="454" w:firstLineChars="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项目间接费用预算一经批准，不得调剂。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永中宋体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03599"/>
    <w:multiLevelType w:val="multilevel"/>
    <w:tmpl w:val="30E0359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AEF"/>
    <w:rsid w:val="00044AEF"/>
    <w:rsid w:val="000612A8"/>
    <w:rsid w:val="00074F96"/>
    <w:rsid w:val="00187BCA"/>
    <w:rsid w:val="001E52DD"/>
    <w:rsid w:val="00202652"/>
    <w:rsid w:val="002F3945"/>
    <w:rsid w:val="005B0902"/>
    <w:rsid w:val="00695709"/>
    <w:rsid w:val="0073018E"/>
    <w:rsid w:val="00737E39"/>
    <w:rsid w:val="00D05542"/>
    <w:rsid w:val="00D3735D"/>
    <w:rsid w:val="00D57D0A"/>
    <w:rsid w:val="00E62809"/>
    <w:rsid w:val="00E935DC"/>
    <w:rsid w:val="00F2520A"/>
    <w:rsid w:val="00FC6DE7"/>
    <w:rsid w:val="452F7B28"/>
    <w:rsid w:val="48D867C5"/>
    <w:rsid w:val="77ED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GHBHQZZ</Company>
  <Pages>1</Pages>
  <Words>111</Words>
  <Characters>634</Characters>
  <Lines>5</Lines>
  <Paragraphs>1</Paragraphs>
  <TotalTime>1</TotalTime>
  <ScaleCrop>false</ScaleCrop>
  <LinksUpToDate>false</LinksUpToDate>
  <CharactersWithSpaces>744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2019-10-29T07:05:00Z</dcterms:created>
  <dc:creator>lixue</dc:creator>
  <cp:lastModifiedBy>李鹏飞</cp:lastModifiedBy>
  <dcterms:modified xsi:type="dcterms:W3CDTF">2021-11-11T03:25:38Z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