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30"/>
          <w:szCs w:val="30"/>
        </w:rPr>
        <w:t>附件</w:t>
      </w:r>
      <w:r>
        <w:rPr>
          <w:rFonts w:hint="default" w:ascii="宋体" w:hAnsi="宋体"/>
          <w:kern w:val="0"/>
          <w:sz w:val="30"/>
          <w:szCs w:val="30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0" w:firstLineChars="0"/>
        <w:jc w:val="center"/>
        <w:textAlignment w:val="auto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  <w:t>1</w:t>
      </w:r>
      <w:r>
        <w:rPr>
          <w:rFonts w:hint="eastAsia" w:ascii="方正小标宋简体" w:eastAsia="方正小标宋简体"/>
          <w:bCs/>
          <w:sz w:val="36"/>
          <w:szCs w:val="36"/>
        </w:rPr>
        <w:t>年度全国高校思想政治工作骨干示范培训班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0" w:firstLineChars="0"/>
        <w:jc w:val="center"/>
        <w:textAlignment w:val="auto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主要班次计划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0" w:firstLineChars="0"/>
        <w:jc w:val="center"/>
        <w:textAlignment w:val="auto"/>
        <w:rPr>
          <w:rFonts w:hint="eastAsia" w:ascii="方正小标宋简体" w:eastAsia="方正小标宋简体"/>
          <w:bCs/>
          <w:sz w:val="36"/>
          <w:szCs w:val="36"/>
        </w:rPr>
      </w:pPr>
    </w:p>
    <w:tbl>
      <w:tblPr>
        <w:tblStyle w:val="6"/>
        <w:tblW w:w="97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804"/>
        <w:gridCol w:w="5346"/>
        <w:gridCol w:w="2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Cs/>
                <w:spacing w:val="-6"/>
                <w:kern w:val="0"/>
                <w:sz w:val="28"/>
                <w:szCs w:val="28"/>
              </w:rPr>
              <w:t>期数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Cs/>
                <w:spacing w:val="-6"/>
                <w:kern w:val="0"/>
                <w:sz w:val="28"/>
                <w:szCs w:val="28"/>
              </w:rPr>
              <w:t>时间</w:t>
            </w:r>
          </w:p>
        </w:tc>
        <w:tc>
          <w:tcPr>
            <w:tcW w:w="534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8"/>
                <w:szCs w:val="28"/>
              </w:rPr>
              <w:t>培训专题</w:t>
            </w:r>
          </w:p>
        </w:tc>
        <w:tc>
          <w:tcPr>
            <w:tcW w:w="25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28"/>
                <w:szCs w:val="28"/>
              </w:rPr>
              <w:t>承办单位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284期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4月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加强红色文化资源在高校党史教育中的应用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延安大学中心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285期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“四史”教育融入高校日常思政工作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南开大学中心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286期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5月</w:t>
            </w:r>
          </w:p>
        </w:tc>
        <w:tc>
          <w:tcPr>
            <w:tcW w:w="5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习近平总书记关于中国共产党历史重要论述解读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东北师范大学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289期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5月</w:t>
            </w:r>
          </w:p>
        </w:tc>
        <w:tc>
          <w:tcPr>
            <w:tcW w:w="5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加强高校教师队伍思想政治建设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河南师范大学中心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290期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善用“大思政课”与制度自信教育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湖南师范大学中心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291期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高校网络文化作品创作与成果评价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电子科技大学中心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293期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5月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大数据与大学生思想政治教育创新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安徽师范大学中心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294期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高校基层党组织政治功能提升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南京师范大学中心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296期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高校思政工作体系的阶段进展与能力要求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中山大学中心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298期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大学生情感疏导与心理危机识别干预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华东师范大学中心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299期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大学生生涯规划与就业指导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南宁师范大学中心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300期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6月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实践育人方法创新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pacing w:val="-6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浙江大学中心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302期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7月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加强基层组织工作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四川大学中心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303期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7月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心理育人的方法与路径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扬州大学中心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305期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8月</w:t>
            </w:r>
          </w:p>
        </w:tc>
        <w:tc>
          <w:tcPr>
            <w:tcW w:w="5346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研究生辅导员素质能力提升</w:t>
            </w:r>
          </w:p>
        </w:tc>
        <w:tc>
          <w:tcPr>
            <w:tcW w:w="2565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中国矿业大学中心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307期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9月</w:t>
            </w:r>
          </w:p>
        </w:tc>
        <w:tc>
          <w:tcPr>
            <w:tcW w:w="5346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“一站式”学生社区建设和管理</w:t>
            </w:r>
          </w:p>
        </w:tc>
        <w:tc>
          <w:tcPr>
            <w:tcW w:w="2565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西安交通大学中心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312期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9月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新媒体时代高校网络育人的理论与实践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福建师范大学中心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314期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高校意识形态风险研判与应对工作专题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华中师范大学中心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315期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10月</w:t>
            </w:r>
          </w:p>
        </w:tc>
        <w:tc>
          <w:tcPr>
            <w:tcW w:w="5346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辅导员践行“一线规则”的路径</w:t>
            </w:r>
          </w:p>
        </w:tc>
        <w:tc>
          <w:tcPr>
            <w:tcW w:w="2565" w:type="dxa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厦门大学中心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317期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10月</w:t>
            </w:r>
          </w:p>
        </w:tc>
        <w:tc>
          <w:tcPr>
            <w:tcW w:w="534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少数民族辅导员素质能力提升</w:t>
            </w:r>
          </w:p>
        </w:tc>
        <w:tc>
          <w:tcPr>
            <w:tcW w:w="2565" w:type="dxa"/>
            <w:vAlign w:val="top"/>
          </w:tcPr>
          <w:p>
            <w:pPr>
              <w:spacing w:line="520" w:lineRule="exact"/>
              <w:ind w:right="85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华中科技大学</w:t>
            </w: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321期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学生权益保护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华南师范大学中心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324期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10月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优秀传统文化与思想政治教育创新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广西师范大学中心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326期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高校党史资源挖掘与理想信念教育常态化</w:t>
            </w:r>
          </w:p>
        </w:tc>
        <w:tc>
          <w:tcPr>
            <w:tcW w:w="25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复旦大学中心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329期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11月</w:t>
            </w:r>
          </w:p>
        </w:tc>
        <w:tc>
          <w:tcPr>
            <w:tcW w:w="5346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大学生国家安全教育与危机事件应对</w:t>
            </w:r>
          </w:p>
        </w:tc>
        <w:tc>
          <w:tcPr>
            <w:tcW w:w="256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华东政法大学中心</w:t>
            </w: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000000"/>
          <w:sz w:val="30"/>
          <w:szCs w:val="30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B0F6B"/>
    <w:rsid w:val="07D74564"/>
    <w:rsid w:val="0BC11C73"/>
    <w:rsid w:val="11CF64AC"/>
    <w:rsid w:val="15C415E2"/>
    <w:rsid w:val="16512F16"/>
    <w:rsid w:val="21A975E4"/>
    <w:rsid w:val="2412480F"/>
    <w:rsid w:val="546826AB"/>
    <w:rsid w:val="5DA866DD"/>
    <w:rsid w:val="5E5A5F98"/>
    <w:rsid w:val="68431E09"/>
    <w:rsid w:val="6C28410C"/>
    <w:rsid w:val="78236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600" w:firstLineChars="200"/>
    </w:pPr>
    <w:rPr>
      <w:rFonts w:ascii="仿宋_GB2312" w:hAnsi="宋体" w:eastAsia="仿宋_GB2312" w:cstheme="minorBidi"/>
      <w:sz w:val="30"/>
    </w:r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Calibri" w:hAnsi="Calibri" w:eastAsia="宋体" w:cs="Times New Roman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2021-04-08T01:30:00Z</dcterms:created>
  <dc:creator>wangxuejunw</dc:creator>
  <cp:lastModifiedBy>王科</cp:lastModifiedBy>
  <dcterms:modified xsi:type="dcterms:W3CDTF">2021-04-13T09:48:29Z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4B2CF6DAC4D4418F84E66F933A71C0D9</vt:lpwstr>
  </property>
</Properties>
</file>