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278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numPr>
          <w:ilvl w:val="0"/>
          <w:numId w:val="0"/>
        </w:numPr>
        <w:spacing w:line="360" w:lineRule="auto"/>
        <w:ind w:left="700" w:leftChars="0"/>
        <w:jc w:val="center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 xml:space="preserve"> 遴选评审标准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本项目是在“公平、公开、公正”原则上，面向全社会进行的公开遴选。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文件合格性审查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评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审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小组对所有遴选文件进行合格性审查，审查合格的遴选文件才可进入后续评分及其他评审，审查不合格的遴选文件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为无效遴选文件，响应单位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不得进入后续评审。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遴选文件审查项目包括：1.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响应单位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的合格性；2.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文件的完整性；3.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遴选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文件是否为有效签署；4.对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遴选项目需求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的响应情况；5.经营范围是否符合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遴选项目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二、评分组成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商务技术评分+价格分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评审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方法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(一)商务技术评分：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商务技术评分主要依据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评分细则的评分内容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，由各评委独立打分，再根据各评委的评分结果的加权算术平均值，即得出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响应单位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的商务技术分值。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（二）价格分： 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价格评分原则：通过初审且评审合格的方可作为有效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响应单位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进入价格评分，各有效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响应单位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管理费遴选报价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价中，取最高者作为基准价。各有效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响应单位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的价格评分统一按照下列公式计算：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价格评分＝（报价/最高价）×价格权重分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（三）总分：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响应单位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的总分＝商务技术分＋价格分，满分为100分。评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审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小组将根据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响应单位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的最终得分，推荐得分最高为</w:t>
      </w:r>
      <w:r>
        <w:rPr>
          <w:rFonts w:hint="default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成交经营服务商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，得分第二的响应单位为备选单位。如出现最高分同分现象（即有两家或两家以上的响应单位取得相同分数），则报价高者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default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成交经营服务商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；若报价仍相同，由评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审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小组通过投票确定</w:t>
      </w:r>
      <w:r>
        <w:rPr>
          <w:rFonts w:hint="default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成交经营服务商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四、评分细则</w:t>
      </w:r>
    </w:p>
    <w:tbl>
      <w:tblPr>
        <w:tblStyle w:val="5"/>
        <w:tblW w:w="5165" w:type="pct"/>
        <w:jc w:val="center"/>
        <w:tblBorders>
          <w:top w:val="outset" w:color="111111" w:sz="6" w:space="0"/>
          <w:left w:val="outset" w:color="111111" w:sz="6" w:space="0"/>
          <w:bottom w:val="outset" w:color="111111" w:sz="6" w:space="0"/>
          <w:right w:val="outset" w:color="111111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0" w:type="dxa"/>
          <w:left w:w="150" w:type="dxa"/>
          <w:bottom w:w="150" w:type="dxa"/>
          <w:right w:w="150" w:type="dxa"/>
        </w:tblCellMar>
      </w:tblPr>
      <w:tblGrid>
        <w:gridCol w:w="511"/>
        <w:gridCol w:w="922"/>
        <w:gridCol w:w="1357"/>
        <w:gridCol w:w="854"/>
        <w:gridCol w:w="5246"/>
      </w:tblGrid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none" w:color="auto" w:sz="0" w:space="0"/>
            <w:insideV w:val="none" w:color="auto" w:sz="0" w:space="0"/>
          </w:tblBorders>
        </w:tblPrEx>
        <w:trPr>
          <w:trHeight w:val="18" w:hRule="atLeast"/>
          <w:jc w:val="center"/>
        </w:trPr>
        <w:tc>
          <w:tcPr>
            <w:tcW w:w="287" w:type="pc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519" w:type="pct"/>
            <w:tcBorders>
              <w:top w:val="outset" w:color="111111" w:sz="6" w:space="0"/>
              <w:left w:val="outset" w:color="111111" w:sz="6" w:space="0"/>
              <w:bottom w:val="single" w:color="auto" w:sz="4" w:space="0"/>
              <w:right w:val="outset" w:color="111111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评审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</w:t>
            </w:r>
          </w:p>
        </w:tc>
        <w:tc>
          <w:tcPr>
            <w:tcW w:w="762" w:type="pct"/>
            <w:tcBorders>
              <w:top w:val="outset" w:color="111111" w:sz="6" w:space="0"/>
              <w:left w:val="outset" w:color="111111" w:sz="6" w:space="0"/>
              <w:bottom w:val="single" w:color="auto" w:sz="4" w:space="0"/>
              <w:right w:val="outset" w:color="111111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评审内容</w:t>
            </w:r>
          </w:p>
        </w:tc>
        <w:tc>
          <w:tcPr>
            <w:tcW w:w="480" w:type="pct"/>
            <w:tcBorders>
              <w:top w:val="outset" w:color="111111" w:sz="6" w:space="0"/>
              <w:left w:val="outset" w:color="111111" w:sz="6" w:space="0"/>
              <w:bottom w:val="single" w:color="auto" w:sz="4" w:space="0"/>
              <w:right w:val="outset" w:color="111111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单项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权重</w:t>
            </w:r>
          </w:p>
        </w:tc>
        <w:tc>
          <w:tcPr>
            <w:tcW w:w="2950" w:type="pct"/>
            <w:tcBorders>
              <w:top w:val="outset" w:color="111111" w:sz="6" w:space="0"/>
              <w:left w:val="outset" w:color="111111" w:sz="6" w:space="0"/>
              <w:bottom w:val="single" w:color="auto" w:sz="4" w:space="0"/>
              <w:right w:val="outset" w:color="111111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评分范围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none" w:color="auto" w:sz="0" w:space="0"/>
            <w:insideV w:val="none" w:color="auto" w:sz="0" w:space="0"/>
          </w:tblBorders>
        </w:tblPrEx>
        <w:trPr>
          <w:trHeight w:val="3253" w:hRule="atLeast"/>
          <w:jc w:val="center"/>
        </w:trPr>
        <w:tc>
          <w:tcPr>
            <w:tcW w:w="28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b/>
                <w:bCs/>
                <w:color w:val="000000"/>
                <w:kern w:val="0"/>
                <w:sz w:val="20"/>
                <w:szCs w:val="20"/>
              </w:rPr>
              <w:t>商务技术评分</w:t>
            </w:r>
          </w:p>
        </w:tc>
        <w:tc>
          <w:tcPr>
            <w:tcW w:w="7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经营服务商实力和经营经验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9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.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经营管理经验3分，经营同行业的时间超过5年（含5年）者，得3分；超过3年（含3年）者，得2分；超过2年者，得1分；不足2年者得0分。</w:t>
            </w:r>
          </w:p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.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经验管理业绩3分，现经营同类型店面超过3间（含3间）以上，且为连锁经营的，得3分；有2间（含2间）以上，且为连锁经营的，得2分；1间经营门店得1分。</w:t>
            </w:r>
          </w:p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.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企业荣誉3分,获得广州市级（或以上）同类型企业荣誉证书3份（含 3份）以上者，得3分；获得2份者得2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分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；获得1份者得1分；无获得者得0分。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none" w:color="auto" w:sz="0" w:space="0"/>
            <w:insideV w:val="none" w:color="auto" w:sz="0" w:space="0"/>
          </w:tblBorders>
        </w:tblPrEx>
        <w:trPr>
          <w:trHeight w:val="1776" w:hRule="atLeast"/>
          <w:jc w:val="center"/>
        </w:trPr>
        <w:tc>
          <w:tcPr>
            <w:tcW w:w="287" w:type="pct"/>
            <w:tcBorders>
              <w:top w:val="outset" w:color="111111" w:sz="6" w:space="0"/>
              <w:left w:val="outset" w:color="111111" w:sz="6" w:space="0"/>
              <w:right w:val="outset" w:color="111111" w:sz="6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经营服务</w:t>
            </w:r>
          </w:p>
          <w:p>
            <w:pPr>
              <w:widowControl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方案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9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综合评审经营服务方案，包括服务内容、服务流程、卫生安全保障措施、空间布局特色经营服务等。</w:t>
            </w:r>
          </w:p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1.店面营业服务时间（1-3分）；</w:t>
            </w:r>
          </w:p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2.持续投入承诺（1-3分）；</w:t>
            </w:r>
          </w:p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3.安全保障措施：食品安全、消防安全（1-3分）；</w:t>
            </w:r>
          </w:p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4.空间布局美观合理（1-3分）</w:t>
            </w:r>
            <w:r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none" w:color="auto" w:sz="0" w:space="0"/>
            <w:insideV w:val="none" w:color="auto" w:sz="0" w:space="0"/>
          </w:tblBorders>
        </w:tblPrEx>
        <w:trPr>
          <w:trHeight w:val="1185" w:hRule="atLeast"/>
          <w:jc w:val="center"/>
        </w:trPr>
        <w:tc>
          <w:tcPr>
            <w:tcW w:w="287" w:type="pct"/>
            <w:tcBorders>
              <w:top w:val="outset" w:color="111111" w:sz="6" w:space="0"/>
              <w:left w:val="outset" w:color="111111" w:sz="6" w:space="0"/>
              <w:right w:val="outset" w:color="111111" w:sz="6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商品种类及定价方案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ourier New" w:hAnsi="Courier New" w:cs="Courier New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29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综合评审经营种类、商品品质和商品价格等。</w:t>
            </w:r>
          </w:p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响应单位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产品种类、服务内容范围（1-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分）；</w:t>
            </w:r>
          </w:p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2.产品和服务定价方案（1-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分）。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none" w:color="auto" w:sz="0" w:space="0"/>
            <w:insideV w:val="none" w:color="auto" w:sz="0" w:space="0"/>
          </w:tblBorders>
        </w:tblPrEx>
        <w:trPr>
          <w:trHeight w:val="644" w:hRule="atLeast"/>
          <w:jc w:val="center"/>
        </w:trPr>
        <w:tc>
          <w:tcPr>
            <w:tcW w:w="287" w:type="pct"/>
            <w:tcBorders>
              <w:top w:val="outset" w:color="111111" w:sz="6" w:space="0"/>
              <w:left w:val="outset" w:color="111111" w:sz="6" w:space="0"/>
              <w:bottom w:val="single" w:color="auto" w:sz="4" w:space="0"/>
              <w:right w:val="outset" w:color="111111" w:sz="6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主管人员配备及其他人员配置情况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cs="Courier New" w:eastAsiaTheme="minorEastAsia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9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承诺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拟投入本项目的人员</w:t>
            </w:r>
            <w:r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根据投入数量和人员管理经验等进行综合比较评分</w:t>
            </w:r>
            <w:r>
              <w:rPr>
                <w:rFonts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优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得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分，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良得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分</w:t>
            </w:r>
            <w:r>
              <w:rPr>
                <w:rFonts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一般得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分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none" w:color="auto" w:sz="0" w:space="0"/>
            <w:insideV w:val="none" w:color="auto" w:sz="0" w:space="0"/>
          </w:tblBorders>
        </w:tblPrEx>
        <w:trPr>
          <w:trHeight w:val="1055" w:hRule="atLeast"/>
          <w:jc w:val="center"/>
        </w:trPr>
        <w:tc>
          <w:tcPr>
            <w:tcW w:w="2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应急事项管理措施及保险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Hans"/>
              </w:rPr>
              <w:t>购买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承诺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9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1.涉及卫生、消防、安全等方面工作及风险应急预案情况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 xml:space="preserve">，应急预案详细完整，合理性全面，得 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 xml:space="preserve"> 分；应急预案相</w:t>
            </w:r>
          </w:p>
          <w:p>
            <w:pPr>
              <w:widowControl/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对完整，合理性存在不足，得 2 分；应急预案完整性较差，合理性不足，得 1 分；未提供应急预案不得分；</w:t>
            </w:r>
          </w:p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2.承诺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成为</w:t>
            </w:r>
            <w:r>
              <w:rPr>
                <w:rFonts w:hint="default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成交经营服务商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后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办理商业综合责任保险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雇主责任保险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消防安全责任保险。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每办理一种保险等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1分，最高为3分，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不办理不得分，承诺函格式自定。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none" w:color="auto" w:sz="0" w:space="0"/>
            <w:insideV w:val="none" w:color="auto" w:sz="0" w:space="0"/>
          </w:tblBorders>
        </w:tblPrEx>
        <w:trPr>
          <w:trHeight w:val="1055" w:hRule="atLeast"/>
          <w:jc w:val="center"/>
        </w:trPr>
        <w:tc>
          <w:tcPr>
            <w:tcW w:w="2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Courier New" w:hAnsi="Courier New" w:cs="Courier New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51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Courier New" w:hAnsi="Courier New" w:cs="Courier New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学校活动支持及服务方案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ourier New" w:hAnsi="Courier New" w:cs="Courier New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 w:bidi="ar-SA"/>
              </w:rPr>
              <w:t>5</w:t>
            </w:r>
          </w:p>
        </w:tc>
        <w:tc>
          <w:tcPr>
            <w:tcW w:w="29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Courier New" w:hAnsi="Courier New" w:cs="Courier New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学校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大型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活动支持、增值服务方案（1-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分）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none" w:color="auto" w:sz="0" w:space="0"/>
            <w:insideV w:val="none" w:color="auto" w:sz="0" w:space="0"/>
          </w:tblBorders>
        </w:tblPrEx>
        <w:trPr>
          <w:trHeight w:val="1055" w:hRule="atLeast"/>
          <w:jc w:val="center"/>
        </w:trPr>
        <w:tc>
          <w:tcPr>
            <w:tcW w:w="2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Courier New" w:hAnsi="Courier New" w:cs="Courier New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51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Courier New" w:hAnsi="Courier New" w:cs="Courier New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经营管理的整体设想及策划进行陈述</w:t>
            </w: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ourier New" w:hAnsi="Courier New" w:cs="Courier New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29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根据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响应单位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所拟定的服务方案，对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响应单位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针经营管理的整体设想、策划、方案等进行综合分析、比较评分。</w:t>
            </w:r>
          </w:p>
          <w:p>
            <w:pPr>
              <w:widowControl/>
              <w:rPr>
                <w:rFonts w:hint="eastAsia" w:ascii="Courier New" w:hAnsi="Courier New" w:cs="Courier New" w:eastAsiaTheme="minorEastAsi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none" w:color="auto" w:sz="0" w:space="0"/>
            <w:insideV w:val="none" w:color="auto" w:sz="0" w:space="0"/>
          </w:tblBorders>
        </w:tblPrEx>
        <w:trPr>
          <w:trHeight w:val="1055" w:hRule="atLeast"/>
          <w:jc w:val="center"/>
        </w:trPr>
        <w:tc>
          <w:tcPr>
            <w:tcW w:w="287" w:type="pct"/>
            <w:tcBorders>
              <w:top w:val="single" w:color="auto" w:sz="4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</w:p>
        </w:tc>
        <w:tc>
          <w:tcPr>
            <w:tcW w:w="519" w:type="pct"/>
            <w:tcBorders>
              <w:top w:val="single" w:color="auto" w:sz="4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ourier New" w:hAnsi="Courier New" w:cs="Courier New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b/>
                <w:bCs/>
                <w:color w:val="000000"/>
                <w:kern w:val="0"/>
                <w:sz w:val="20"/>
                <w:szCs w:val="20"/>
              </w:rPr>
              <w:t>价格</w:t>
            </w:r>
          </w:p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Courier New" w:hAnsi="Courier New" w:cs="Courier New"/>
                <w:b/>
                <w:bCs/>
                <w:color w:val="000000"/>
                <w:kern w:val="0"/>
                <w:sz w:val="20"/>
                <w:szCs w:val="20"/>
              </w:rPr>
              <w:t>评分</w:t>
            </w:r>
          </w:p>
        </w:tc>
        <w:tc>
          <w:tcPr>
            <w:tcW w:w="762" w:type="pct"/>
            <w:tcBorders>
              <w:top w:val="single" w:color="auto" w:sz="4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管理费报价</w:t>
            </w:r>
          </w:p>
        </w:tc>
        <w:tc>
          <w:tcPr>
            <w:tcW w:w="480" w:type="pct"/>
            <w:tcBorders>
              <w:top w:val="single" w:color="auto" w:sz="4" w:space="0"/>
              <w:left w:val="outset" w:color="111111" w:sz="6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ourier New" w:hAnsi="Courier New" w:cs="Courier New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2950" w:type="pct"/>
            <w:tcBorders>
              <w:top w:val="single" w:color="auto" w:sz="4" w:space="0"/>
              <w:left w:val="single" w:color="auto" w:sz="4" w:space="0"/>
              <w:bottom w:val="outset" w:color="111111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通过初审且评审合格的方可作为有效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响应单位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进入价格评分，各有效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响应单位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的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管理费遴选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价中，取最高者作为基准价。各有效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  <w:lang w:eastAsia="zh-CN"/>
              </w:rPr>
              <w:t>响应单位</w:t>
            </w: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的价格评分统一按照下列公式计算：</w:t>
            </w:r>
          </w:p>
          <w:p>
            <w:pPr>
              <w:widowControl/>
              <w:rPr>
                <w:rFonts w:ascii="Courier New" w:hAnsi="Courier New" w:cs="Courier New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ourier New" w:hAnsi="Courier New" w:cs="Courier New"/>
                <w:color w:val="000000"/>
                <w:kern w:val="0"/>
                <w:sz w:val="20"/>
                <w:szCs w:val="20"/>
              </w:rPr>
              <w:t>价格评分＝（报价/最高价）×价格权重分</w:t>
            </w:r>
          </w:p>
        </w:tc>
      </w:tr>
      <w:tr>
        <w:tblPrEx>
          <w:tblBorders>
            <w:top w:val="outset" w:color="111111" w:sz="6" w:space="0"/>
            <w:left w:val="outset" w:color="111111" w:sz="6" w:space="0"/>
            <w:bottom w:val="outset" w:color="111111" w:sz="6" w:space="0"/>
            <w:right w:val="outset" w:color="111111" w:sz="6" w:space="0"/>
            <w:insideH w:val="none" w:color="auto" w:sz="0" w:space="0"/>
            <w:insideV w:val="none" w:color="auto" w:sz="0" w:space="0"/>
          </w:tblBorders>
        </w:tblPrEx>
        <w:trPr>
          <w:trHeight w:val="20" w:hRule="atLeast"/>
          <w:jc w:val="center"/>
        </w:trPr>
        <w:tc>
          <w:tcPr>
            <w:tcW w:w="1569" w:type="pct"/>
            <w:gridSpan w:val="3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合计</w:t>
            </w:r>
          </w:p>
        </w:tc>
        <w:tc>
          <w:tcPr>
            <w:tcW w:w="480" w:type="pc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100</w:t>
            </w:r>
          </w:p>
        </w:tc>
        <w:tc>
          <w:tcPr>
            <w:tcW w:w="2950" w:type="pct"/>
            <w:tcBorders>
              <w:top w:val="outset" w:color="111111" w:sz="6" w:space="0"/>
              <w:left w:val="outset" w:color="111111" w:sz="6" w:space="0"/>
              <w:bottom w:val="outset" w:color="111111" w:sz="6" w:space="0"/>
              <w:right w:val="outset" w:color="111111" w:sz="6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宋体"/>
                <w:b/>
                <w:szCs w:val="21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、遴选评分表</w:t>
      </w:r>
    </w:p>
    <w:tbl>
      <w:tblPr>
        <w:tblStyle w:val="5"/>
        <w:tblW w:w="927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0"/>
        <w:gridCol w:w="2514"/>
        <w:gridCol w:w="3906"/>
        <w:gridCol w:w="1410"/>
        <w:gridCol w:w="751"/>
      </w:tblGrid>
      <w:tr>
        <w:trPr>
          <w:trHeight w:val="488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评审项目</w:t>
            </w:r>
          </w:p>
        </w:tc>
        <w:tc>
          <w:tcPr>
            <w:tcW w:w="3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评审内容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单项权重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评分</w:t>
            </w:r>
          </w:p>
        </w:tc>
      </w:tr>
      <w:tr>
        <w:trPr>
          <w:trHeight w:val="488" w:hRule="atLeast"/>
          <w:jc w:val="center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实力和经营经验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经营管理经验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经验管理业绩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企业荣誉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经营服务方案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营业时间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投入承诺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安全保障措施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空间布局美观合理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1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商品种类及定价方案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产品种类、服务内容范围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产品和服务定价方案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1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人员配备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主管人员配备及其他人员配置情况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1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应急事项管理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应急预案情况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保险承诺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51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学校活动支持及服务方案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学校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大型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活动支持、增值服务方案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51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经营实施方案项目陈述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经营管理的整体设想及策划、方案等进行综合分析、比较评分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6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51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价格评分</w:t>
            </w:r>
          </w:p>
        </w:tc>
        <w:tc>
          <w:tcPr>
            <w:tcW w:w="3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管理费报价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711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360"/>
        </w:tabs>
        <w:spacing w:line="360" w:lineRule="auto"/>
        <w:rPr>
          <w:rFonts w:hint="eastAsia"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tabs>
          <w:tab w:val="left" w:pos="360"/>
        </w:tabs>
        <w:spacing w:line="360" w:lineRule="auto"/>
        <w:rPr>
          <w:rFonts w:ascii="仿宋" w:hAnsi="仿宋" w:eastAsia="仿宋" w:cs="仿宋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评委签名：                                日期：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创艺简标宋">
    <w:altName w:val="汉仪书宋二KW"/>
    <w:panose1 w:val="00000000000000000000"/>
    <w:charset w:val="80"/>
    <w:family w:val="auto"/>
    <w:pitch w:val="default"/>
    <w:sig w:usb0="00000000" w:usb1="00000000" w:usb2="00000016" w:usb3="00000000" w:csb0="40020001" w:csb1="C0D6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M2Y5NjM4NzM3MTljZjBiNmQ2ZWM1OTI4MzIzMmQifQ=="/>
  </w:docVars>
  <w:rsids>
    <w:rsidRoot w:val="E99F8158"/>
    <w:rsid w:val="053B60FD"/>
    <w:rsid w:val="08C276F9"/>
    <w:rsid w:val="28E33CA5"/>
    <w:rsid w:val="2E3507E9"/>
    <w:rsid w:val="33DE722D"/>
    <w:rsid w:val="3C522626"/>
    <w:rsid w:val="428629E8"/>
    <w:rsid w:val="478A31F9"/>
    <w:rsid w:val="4EBE3E70"/>
    <w:rsid w:val="555C152E"/>
    <w:rsid w:val="56C444D2"/>
    <w:rsid w:val="5801011E"/>
    <w:rsid w:val="67EC080C"/>
    <w:rsid w:val="699A7603"/>
    <w:rsid w:val="69EF7C0A"/>
    <w:rsid w:val="6C5A7AD2"/>
    <w:rsid w:val="6C6860E7"/>
    <w:rsid w:val="DD5F554A"/>
    <w:rsid w:val="DF784ECE"/>
    <w:rsid w:val="E99F8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10095</Words>
  <Characters>10348</Characters>
  <Lines>0</Lines>
  <Paragraphs>0</Paragraphs>
  <TotalTime>33</TotalTime>
  <ScaleCrop>false</ScaleCrop>
  <LinksUpToDate>false</LinksUpToDate>
  <CharactersWithSpaces>10891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2023-08-14T10:05:00Z</dcterms:created>
  <dc:creator>ZY</dc:creator>
  <cp:lastModifiedBy>ZY</cp:lastModifiedBy>
  <dcterms:modified xsi:type="dcterms:W3CDTF">2023-09-29T23:39:54Z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DD95D4F6D3AE92B3E2EE16651BE28DAA_43</vt:lpwstr>
  </property>
</Properties>
</file>